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人民法院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送达地址确认书</w:t>
      </w:r>
    </w:p>
    <w:tbl>
      <w:tblPr>
        <w:tblStyle w:val="4"/>
        <w:tblW w:w="99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69"/>
        <w:gridCol w:w="1056"/>
        <w:gridCol w:w="1430"/>
        <w:gridCol w:w="1630"/>
        <w:gridCol w:w="3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案由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案号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        ）豫          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告知事项</w:t>
            </w:r>
          </w:p>
        </w:tc>
        <w:tc>
          <w:tcPr>
            <w:tcW w:w="91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一、依照最高人民法院《关于进一步加强民事送达工作的若干意见》，当事人应当按要求填写送达地址确认书。当事人变更送达地址，应当以书面形式告知人民法院。拒绝提供送达地址、提供虚假地址、提供地址不准确或者拒绝确认的，应当承担由此产生的法律后果（请认真阅读背面节选的相关内容）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二、依照《中华人民共和国民事诉讼法》第九十条之规定，经受送达人同意，人民法院可以采用能够确认其收悉的电子方式送达诉讼文书。通过电子方式送达的判决书、裁定书、调解书，受送达人提出需要纸质文书的，人民法院应当提供。采用前款方式送达的，以送达信息到达受送达人特定系统的日期为送达日期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你是否同意人民法院采用电子方式送达诉讼文书？   □同意      □不同意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送达地址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当事人（诉讼代理人或代收人）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送达地址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电话（手机）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电子送达方式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微信、短信、QQ等即时通讯帐号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的账户信息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可能退费须要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接收银行账号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8"/>
              </w:rPr>
              <w:t>（退费银行账号必须是当事人或法定代理人的银行账号）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开户行全称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开户名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当事人确认</w:t>
            </w:r>
          </w:p>
        </w:tc>
        <w:tc>
          <w:tcPr>
            <w:tcW w:w="915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我已经阅读（听明白）本确认书的告知事项，提供了上栏送达方式和地址及诉讼费退费账户信息，并保证所提供的送达地址和银行账号等各项内容是正确的、有效的。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当事人（签名或盖章）：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法院工作人员签名</w:t>
            </w:r>
          </w:p>
        </w:tc>
        <w:tc>
          <w:tcPr>
            <w:tcW w:w="2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  <w:sectPr>
          <w:pgSz w:w="11906" w:h="16838"/>
          <w:pgMar w:top="1304" w:right="1474" w:bottom="1758" w:left="1474" w:header="851" w:footer="1588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最高人民法院《关于进一步加强民事送达工作的若干意见》（节选）</w:t>
      </w:r>
    </w:p>
    <w:p>
      <w:pPr>
        <w:adjustRightInd w:val="0"/>
        <w:snapToGrid w:val="0"/>
        <w:spacing w:line="440" w:lineRule="atLeast"/>
        <w:ind w:firstLine="588" w:firstLineChars="21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、当事人提供的送达地址应当包括邮政编码、详细地址以及受送达人的联系电话等。同意电子送达的，应当提供并确认接收民事诉讼文书的传真号、电子信箱、微信号等电子送达地址。当事人委托诉讼代理人的，诉讼代理人确认的送达地址视为当事人的送达地址。</w:t>
      </w:r>
    </w:p>
    <w:p>
      <w:pPr>
        <w:adjustRightInd w:val="0"/>
        <w:snapToGrid w:val="0"/>
        <w:spacing w:line="440" w:lineRule="atLeast"/>
        <w:ind w:firstLine="588" w:firstLineChars="21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六、当事人在送达地址确认书中确认的送达地址，适用于第一审程序、第二审程序和执行程序。当事人变更送达地址，应当以书面方式告知人民法院。当事人未书面变更的，以其确认的地址为送达地址。</w:t>
      </w:r>
    </w:p>
    <w:p>
      <w:pPr>
        <w:adjustRightInd w:val="0"/>
        <w:snapToGrid w:val="0"/>
        <w:spacing w:line="440" w:lineRule="atLeast"/>
        <w:ind w:firstLine="588" w:firstLineChars="210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七、因当事人提供的送达地址不准确、拒不提供送达地址、送达地址变更未书面告知人民法院，导致民事诉讼文书未能被受送达人实际接收的，直接送达的，民事诉讼文书留在该地址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>之日为送达之日；邮寄送达的，文书被退回之日为送达之日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八、当事人拒绝确认送达地址或以拒绝应诉、拒接电话、避而不见送达人员、搬离原住所等躲避、规避送达，人民法院不能或无法要求其确认送达地址的，可以分别以下列情形处理：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（一）当事人在诉讼所涉及的合同、往来函件中对送达地址有明确约定的，以约定的地址为送达地址；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（二）没有约定的，以当事人在诉讼中提交的书面材料中载明的自己的地址为送达地址；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（三）没有约定、当事人也未提交书面材料或者书面材料中未载明地址的，以一年内进行其他诉讼、仲裁案件中提供的地址为送达地址；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（四）无以上情形的，以当事人一年内进行民事活动时经常使用的地址为送达地址。人民法院按照上述地址进行送达的，可以同时以电话、微信等方式通知受送达人。</w:t>
      </w:r>
    </w:p>
    <w:p>
      <w:pPr>
        <w:adjustRightInd w:val="0"/>
        <w:snapToGrid w:val="0"/>
        <w:spacing w:line="440" w:lineRule="atLeast"/>
        <w:ind w:firstLine="588" w:firstLineChars="21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《中华人民共和国民事诉讼法》第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九十</w:t>
      </w:r>
      <w:r>
        <w:rPr>
          <w:rFonts w:hint="eastAsia" w:ascii="楷体_GB2312" w:eastAsia="楷体_GB2312"/>
          <w:sz w:val="28"/>
          <w:szCs w:val="28"/>
        </w:rPr>
        <w:t>条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z w:val="28"/>
          <w:szCs w:val="28"/>
        </w:rPr>
        <w:t xml:space="preserve"> 经受送达人同意，人民法院可以采用能够确认其收悉的电子方式送达诉讼文书。通过电子方式送达的判决书、裁定书、调解书，受送达人提出需要纸质文书的，人民法院应当提供。采用前款方式送达的，以送达信息到达受送达人特定系统的日期为送达日期。</w:t>
      </w:r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2NTRhZWQwYzRkZjkxMDdjYTA2OTJjYjU3ZTcxODgifQ=="/>
  </w:docVars>
  <w:rsids>
    <w:rsidRoot w:val="00D33FEA"/>
    <w:rsid w:val="0033783D"/>
    <w:rsid w:val="00540BC2"/>
    <w:rsid w:val="005B544D"/>
    <w:rsid w:val="006E7ED4"/>
    <w:rsid w:val="008776EB"/>
    <w:rsid w:val="00891E65"/>
    <w:rsid w:val="009036E8"/>
    <w:rsid w:val="009D06DE"/>
    <w:rsid w:val="00B3037A"/>
    <w:rsid w:val="00D33FEA"/>
    <w:rsid w:val="00E2025B"/>
    <w:rsid w:val="00E5203A"/>
    <w:rsid w:val="00F02BD3"/>
    <w:rsid w:val="00F37CAC"/>
    <w:rsid w:val="00F538D8"/>
    <w:rsid w:val="00FA1704"/>
    <w:rsid w:val="00FC3B93"/>
    <w:rsid w:val="06530982"/>
    <w:rsid w:val="08C15014"/>
    <w:rsid w:val="1DF9740D"/>
    <w:rsid w:val="29E57A26"/>
    <w:rsid w:val="3C504A40"/>
    <w:rsid w:val="40044768"/>
    <w:rsid w:val="49EF0820"/>
    <w:rsid w:val="78C77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1306</Words>
  <Characters>1307</Characters>
  <Lines>23</Lines>
  <Paragraphs>6</Paragraphs>
  <TotalTime>8</TotalTime>
  <ScaleCrop>false</ScaleCrop>
  <LinksUpToDate>false</LinksUpToDate>
  <CharactersWithSpaces>3236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2022-07-04T01:15:00Z</dcterms:created>
  <dc:creator>张明静</dc:creator>
  <cp:lastModifiedBy>王立申</cp:lastModifiedBy>
  <cp:lastPrinted>2024-08-28T03:49:00Z</cp:lastPrinted>
  <dcterms:modified xsi:type="dcterms:W3CDTF">2024-09-04T00:49:54Z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8D7123B42FD94E30A6D1D1750EB82364</vt:lpwstr>
  </property>
</Properties>
</file>